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23B2135" w14:textId="77777777" w:rsidR="004B2DE7" w:rsidRDefault="007456D6">
      <w:pPr>
        <w:pStyle w:val="Textkrper"/>
        <w:spacing w:before="120"/>
        <w:ind w:right="-1304"/>
        <w:jc w:val="both"/>
        <w:rPr>
          <w:rFonts w:ascii="Arial" w:eastAsia="Helvetica;Arial" w:hAnsi="Arial" w:cs="Arial"/>
          <w:b/>
          <w:bCs/>
          <w:u w:val="single"/>
        </w:rPr>
      </w:pPr>
      <w:r>
        <w:rPr>
          <w:rFonts w:ascii="Arial" w:eastAsia="Helvetica;Arial" w:hAnsi="Arial" w:cs="Arial"/>
          <w:b/>
          <w:bCs/>
          <w:u w:val="single"/>
        </w:rPr>
        <w:t>Geführte E-Bike Touren: Für Mai und September sind noch Plätze frei</w:t>
      </w:r>
    </w:p>
    <w:p w14:paraId="5175ADCB" w14:textId="163B3F9D" w:rsidR="004B2DE7" w:rsidRDefault="007456D6" w:rsidP="00805FC9">
      <w:pPr>
        <w:pStyle w:val="Textkrper"/>
        <w:spacing w:before="120"/>
        <w:jc w:val="both"/>
      </w:pPr>
      <w:r>
        <w:rPr>
          <w:rFonts w:ascii="Arial" w:hAnsi="Arial" w:cs="Arial"/>
          <w:b/>
          <w:color w:val="000000"/>
          <w:sz w:val="28"/>
          <w:szCs w:val="28"/>
        </w:rPr>
        <w:t>Provence und Toskana: Sternradeln in zwei der schönsten Regionen Südeuropas</w:t>
      </w:r>
    </w:p>
    <w:p w14:paraId="1F7E2F97" w14:textId="6AE99196" w:rsidR="00805FC9" w:rsidRDefault="00805FC9">
      <w:pPr>
        <w:spacing w:line="288" w:lineRule="auto"/>
        <w:ind w:right="-1418"/>
        <w:jc w:val="both"/>
        <w:rPr>
          <w:rFonts w:ascii="Arial" w:hAnsi="Arial" w:cs="Arial"/>
          <w:sz w:val="16"/>
          <w:szCs w:val="16"/>
        </w:rPr>
      </w:pPr>
      <w:r>
        <w:rPr>
          <w:rFonts w:ascii="Arial" w:hAnsi="Arial" w:cs="Arial"/>
          <w:noProof/>
          <w:sz w:val="16"/>
          <w:szCs w:val="16"/>
        </w:rPr>
        <w:drawing>
          <wp:inline distT="0" distB="0" distL="0" distR="0" wp14:anchorId="39E9EAA1" wp14:editId="5DF78B38">
            <wp:extent cx="1680000" cy="1260000"/>
            <wp:effectExtent l="0" t="0" r="0" b="0"/>
            <wp:docPr id="1919123506" name="Grafik 1" descr="Ein Bild, das draußen, Person, Himmel, Kleidung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123506" name="Grafik 1" descr="Ein Bild, das draußen, Person, Himmel, Kleidung enthält.&#10;&#10;KI-generierte Inhalte können fehlerhaft sein.">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1680000" cy="126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5C5450E6" wp14:editId="5365068B">
            <wp:extent cx="1896300" cy="1260000"/>
            <wp:effectExtent l="0" t="0" r="8890" b="0"/>
            <wp:docPr id="1034277806" name="Grafik 2" descr="Ein Bild, das Person, Essen, Flasche, Mahlzeit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277806" name="Grafik 2" descr="Ein Bild, das Person, Essen, Flasche, Mahlzeit enthält.&#10;&#10;KI-generierte Inhalte können fehlerhaft sein.">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1896300" cy="1260000"/>
                    </a:xfrm>
                    <a:prstGeom prst="rect">
                      <a:avLst/>
                    </a:prstGeom>
                  </pic:spPr>
                </pic:pic>
              </a:graphicData>
            </a:graphic>
          </wp:inline>
        </w:drawing>
      </w:r>
      <w:r>
        <w:rPr>
          <w:rFonts w:ascii="Arial" w:hAnsi="Arial" w:cs="Arial"/>
          <w:sz w:val="16"/>
          <w:szCs w:val="16"/>
        </w:rPr>
        <w:t xml:space="preserve"> </w:t>
      </w:r>
      <w:r>
        <w:rPr>
          <w:rFonts w:ascii="Arial" w:hAnsi="Arial" w:cs="Arial"/>
          <w:noProof/>
          <w:sz w:val="16"/>
          <w:szCs w:val="16"/>
        </w:rPr>
        <w:drawing>
          <wp:inline distT="0" distB="0" distL="0" distR="0" wp14:anchorId="1D831FD4" wp14:editId="5635FF27">
            <wp:extent cx="2011579" cy="1260000"/>
            <wp:effectExtent l="0" t="0" r="8255" b="0"/>
            <wp:docPr id="1394474975" name="Grafik 3" descr="Ein Bild, das draußen, Fahrradreifen, Rad, Radfahren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474975" name="Grafik 3" descr="Ein Bild, das draußen, Fahrradreifen, Rad, Radfahren enthält.&#10;&#10;KI-generierte Inhalte können fehlerhaft sein.">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011579" cy="1260000"/>
                    </a:xfrm>
                    <a:prstGeom prst="rect">
                      <a:avLst/>
                    </a:prstGeom>
                  </pic:spPr>
                </pic:pic>
              </a:graphicData>
            </a:graphic>
          </wp:inline>
        </w:drawing>
      </w:r>
    </w:p>
    <w:p w14:paraId="23514969" w14:textId="7A042F91" w:rsidR="00805FC9" w:rsidRDefault="00805FC9">
      <w:pPr>
        <w:spacing w:line="288" w:lineRule="auto"/>
        <w:ind w:right="-1418"/>
        <w:jc w:val="both"/>
        <w:rPr>
          <w:rFonts w:ascii="Arial" w:hAnsi="Arial" w:cs="Arial"/>
          <w:sz w:val="16"/>
          <w:szCs w:val="16"/>
        </w:rPr>
      </w:pPr>
      <w:r>
        <w:rPr>
          <w:rFonts w:ascii="Arial" w:hAnsi="Arial" w:cs="Arial"/>
          <w:sz w:val="16"/>
          <w:szCs w:val="16"/>
        </w:rPr>
        <w:t>Sternradeln in der Provence</w:t>
      </w:r>
      <w:r>
        <w:rPr>
          <w:rFonts w:ascii="Arial" w:hAnsi="Arial" w:cs="Arial"/>
          <w:sz w:val="16"/>
          <w:szCs w:val="16"/>
        </w:rPr>
        <w:tab/>
        <w:t xml:space="preserve">             Picknick in der Toskana</w:t>
      </w:r>
      <w:r>
        <w:rPr>
          <w:rFonts w:ascii="Arial" w:hAnsi="Arial" w:cs="Arial"/>
          <w:sz w:val="16"/>
          <w:szCs w:val="16"/>
        </w:rPr>
        <w:tab/>
      </w:r>
      <w:r>
        <w:rPr>
          <w:rFonts w:ascii="Arial" w:hAnsi="Arial" w:cs="Arial"/>
          <w:sz w:val="16"/>
          <w:szCs w:val="16"/>
        </w:rPr>
        <w:tab/>
        <w:t xml:space="preserve"> Sternradeln in der Toskana</w:t>
      </w:r>
    </w:p>
    <w:p w14:paraId="77F2ECE5" w14:textId="1D82F71E" w:rsidR="004B2DE7" w:rsidRDefault="007456D6">
      <w:pPr>
        <w:spacing w:line="288" w:lineRule="auto"/>
        <w:ind w:right="-1418"/>
        <w:jc w:val="both"/>
        <w:rPr>
          <w:rFonts w:ascii="Arial" w:hAnsi="Arial" w:cs="Arial"/>
          <w:sz w:val="16"/>
          <w:szCs w:val="16"/>
        </w:rPr>
      </w:pPr>
      <w:r>
        <w:rPr>
          <w:rFonts w:ascii="Arial" w:hAnsi="Arial" w:cs="Arial"/>
          <w:sz w:val="16"/>
          <w:szCs w:val="16"/>
        </w:rPr>
        <w:t xml:space="preserve">©Fotos: Die Landpartie Radeln und Reisen                                                   </w:t>
      </w:r>
    </w:p>
    <w:p w14:paraId="3D7707C6" w14:textId="77777777" w:rsidR="004B2DE7" w:rsidRDefault="007456D6">
      <w:pPr>
        <w:spacing w:after="120" w:line="288" w:lineRule="auto"/>
        <w:ind w:right="-1418"/>
        <w:jc w:val="both"/>
      </w:pPr>
      <w:r>
        <w:rPr>
          <w:rFonts w:ascii="Arial" w:hAnsi="Arial" w:cs="Arial"/>
          <w:sz w:val="16"/>
          <w:szCs w:val="16"/>
        </w:rPr>
        <w:t xml:space="preserve">Foto - 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1A721711" w14:textId="5E6C2351" w:rsidR="004B2DE7" w:rsidRDefault="007456D6">
      <w:pPr>
        <w:spacing w:after="62" w:line="288" w:lineRule="auto"/>
        <w:jc w:val="both"/>
      </w:pPr>
      <w:r>
        <w:rPr>
          <w:rFonts w:ascii="Arial" w:hAnsi="Arial" w:cs="Arial"/>
          <w:b/>
          <w:bCs/>
          <w:color w:val="000000"/>
          <w:sz w:val="22"/>
          <w:szCs w:val="22"/>
        </w:rPr>
        <w:t xml:space="preserve">Oldenburg/Frankfurt am Main, </w:t>
      </w:r>
      <w:r w:rsidR="00186527">
        <w:rPr>
          <w:rFonts w:ascii="Arial" w:hAnsi="Arial" w:cs="Arial"/>
          <w:b/>
          <w:bCs/>
          <w:color w:val="000000"/>
          <w:sz w:val="22"/>
          <w:szCs w:val="22"/>
        </w:rPr>
        <w:t>12</w:t>
      </w:r>
      <w:r>
        <w:rPr>
          <w:rFonts w:ascii="Arial" w:hAnsi="Arial" w:cs="Arial"/>
          <w:b/>
          <w:bCs/>
          <w:color w:val="000000"/>
          <w:sz w:val="22"/>
          <w:szCs w:val="22"/>
        </w:rPr>
        <w:t xml:space="preserve">. Februar 2025 (primo PR) – </w:t>
      </w:r>
      <w:r>
        <w:rPr>
          <w:rFonts w:ascii="Arial" w:eastAsia="Helvetica;Arial" w:hAnsi="Arial" w:cs="Arial"/>
          <w:b/>
          <w:bCs/>
          <w:color w:val="000000"/>
          <w:sz w:val="22"/>
          <w:szCs w:val="22"/>
        </w:rPr>
        <w:t xml:space="preserve">Für zwei Kulturlandschaften mit einer der größten Dichte an historischen, landschaftlichen und kulinarischen Höhepunkten bietet die Landpartie Radeln und Reisen geführte E-Bike Touren von einem festen Standort an. Gordes ist in der Provence Startpunkt für acht Radtage, in der Toskana ein Landgut mit historischer Villa unweit des Mittelmeers. Für beide Reisen sind im Mai und September noch Plätze frei. Informationen unter </w:t>
      </w:r>
      <w:hyperlink r:id="rId17">
        <w:r>
          <w:rPr>
            <w:rStyle w:val="Hyperlink"/>
            <w:rFonts w:ascii="Arial" w:eastAsia="Helvetica;Arial" w:hAnsi="Arial" w:cs="Arial"/>
            <w:b/>
            <w:bCs/>
            <w:color w:val="000000"/>
            <w:sz w:val="22"/>
            <w:szCs w:val="22"/>
          </w:rPr>
          <w:t>www.dielandpartie.de</w:t>
        </w:r>
      </w:hyperlink>
      <w:r>
        <w:rPr>
          <w:rFonts w:ascii="Arial" w:eastAsia="Helvetica;Arial" w:hAnsi="Arial" w:cs="Arial"/>
          <w:b/>
          <w:bCs/>
          <w:color w:val="000000"/>
          <w:sz w:val="22"/>
          <w:szCs w:val="22"/>
        </w:rPr>
        <w:t xml:space="preserve"> und bei Facebook: </w:t>
      </w:r>
      <w:hyperlink r:id="rId18">
        <w:r>
          <w:rPr>
            <w:rStyle w:val="Hyperlink"/>
            <w:rFonts w:ascii="Arial" w:eastAsia="Helvetica;Arial" w:hAnsi="Arial" w:cs="Arial"/>
            <w:b/>
            <w:bCs/>
            <w:sz w:val="22"/>
            <w:szCs w:val="22"/>
          </w:rPr>
          <w:t>https://www.facebook.com/DieLandpartie/</w:t>
        </w:r>
      </w:hyperlink>
      <w:r>
        <w:rPr>
          <w:rFonts w:ascii="Arial" w:eastAsia="Helvetica;Arial" w:hAnsi="Arial" w:cs="Arial"/>
          <w:b/>
          <w:bCs/>
          <w:color w:val="000000"/>
          <w:sz w:val="22"/>
          <w:szCs w:val="22"/>
        </w:rPr>
        <w:t xml:space="preserve"> sowie telefonisch unter 0441 570683-10.  </w:t>
      </w:r>
    </w:p>
    <w:p w14:paraId="25EB9C60" w14:textId="4C1ED65F" w:rsidR="004B2DE7" w:rsidRDefault="00805FC9">
      <w:pPr>
        <w:pStyle w:val="TableContents"/>
        <w:spacing w:after="62" w:line="288" w:lineRule="auto"/>
        <w:jc w:val="both"/>
      </w:pPr>
      <w:r>
        <w:rPr>
          <w:rFonts w:ascii="Arial" w:eastAsia="Helvetica;Arial" w:hAnsi="Arial" w:cs="Arial"/>
          <w:color w:val="000000"/>
          <w:sz w:val="22"/>
          <w:szCs w:val="22"/>
        </w:rPr>
        <w:t>Exklusive g</w:t>
      </w:r>
      <w:r w:rsidR="007456D6">
        <w:rPr>
          <w:rFonts w:ascii="Arial" w:eastAsia="Helvetica;Arial" w:hAnsi="Arial" w:cs="Arial"/>
          <w:color w:val="000000"/>
          <w:sz w:val="22"/>
          <w:szCs w:val="22"/>
        </w:rPr>
        <w:t xml:space="preserve">eführte </w:t>
      </w:r>
      <w:r>
        <w:rPr>
          <w:rFonts w:ascii="Arial" w:eastAsia="Helvetica;Arial" w:hAnsi="Arial" w:cs="Arial"/>
          <w:color w:val="000000"/>
          <w:sz w:val="22"/>
          <w:szCs w:val="22"/>
        </w:rPr>
        <w:t xml:space="preserve">E-Bike </w:t>
      </w:r>
      <w:r w:rsidR="007456D6">
        <w:rPr>
          <w:rFonts w:ascii="Arial" w:eastAsia="Helvetica;Arial" w:hAnsi="Arial" w:cs="Arial"/>
          <w:color w:val="000000"/>
          <w:sz w:val="22"/>
          <w:szCs w:val="22"/>
        </w:rPr>
        <w:t>Radreisen der Landpartie Radeln und Reisen enthalten entweder Ortswechsel für die Übernachtungen oder sind als Tagestouren von einem festen Punkt aus geplant. Zwei außergewöhnliche Ziele haben für dieses „Sternradeln“ noch Plätze frei.</w:t>
      </w:r>
    </w:p>
    <w:p w14:paraId="5ADAE75D" w14:textId="77777777" w:rsidR="004B2DE7" w:rsidRDefault="007456D6">
      <w:pPr>
        <w:pStyle w:val="berschrift3"/>
        <w:numPr>
          <w:ilvl w:val="2"/>
          <w:numId w:val="2"/>
        </w:numPr>
        <w:spacing w:before="0" w:after="62" w:line="288" w:lineRule="auto"/>
        <w:jc w:val="both"/>
      </w:pPr>
      <w:r>
        <w:rPr>
          <w:rStyle w:val="StrongEmphasis"/>
          <w:b/>
          <w:bCs/>
          <w:color w:val="000000"/>
          <w:sz w:val="22"/>
          <w:szCs w:val="22"/>
        </w:rPr>
        <w:t>Provence: Land des Lichts und der Lebensfreude</w:t>
      </w:r>
    </w:p>
    <w:p w14:paraId="1AEAC87C" w14:textId="77777777" w:rsidR="004B2DE7" w:rsidRDefault="007456D6">
      <w:pPr>
        <w:pStyle w:val="TableContents"/>
        <w:spacing w:after="62" w:line="288" w:lineRule="auto"/>
        <w:jc w:val="both"/>
      </w:pPr>
      <w:r>
        <w:rPr>
          <w:rFonts w:ascii="Arial" w:eastAsia="Helvetica;Arial" w:hAnsi="Arial" w:cs="Arial"/>
          <w:color w:val="000000"/>
          <w:sz w:val="22"/>
          <w:szCs w:val="22"/>
        </w:rPr>
        <w:t xml:space="preserve">Der pittoreske Ort Gordes als Ausgangspunkt des Sternradelns im „Land des Lichts“ bringt alles mit, was die Faszination der Provence ausmacht: Seine spektakuläre Lage auf einem Bergrücken über fruchtbaren Ebenen und Lavendelfeldern, seine historischen Trockenstein-Häuschen, eine imposante Burg aus dem 10. Jahrhundert sowie Kleinode wie das familiengeführte Hotel Mas de la Sénancole mit großem Garten, Pool und fantastischen Ausblicken auf eine der atemberaubendsten Regionen Frankreichs. </w:t>
      </w:r>
    </w:p>
    <w:p w14:paraId="3C19ED87" w14:textId="77777777" w:rsidR="004B2DE7" w:rsidRDefault="007456D6">
      <w:pPr>
        <w:pStyle w:val="TableContents"/>
        <w:spacing w:after="62" w:line="288" w:lineRule="auto"/>
        <w:jc w:val="both"/>
      </w:pPr>
      <w:r>
        <w:rPr>
          <w:rFonts w:ascii="Arial" w:eastAsia="Helvetica;Arial" w:hAnsi="Arial" w:cs="Arial"/>
          <w:color w:val="000000"/>
          <w:sz w:val="22"/>
          <w:szCs w:val="22"/>
        </w:rPr>
        <w:t xml:space="preserve">Noch spektakulärer präsentieren sich nur noch die „Felsennester“ des Luberon. Kleine Orte, die sich an Felsen klammern oder auf ihnen thronen, wie Bonnieux mit seinem Markt und der Chocolaterie „Délices de Provence“, Lacoste mit dem Schloss des berühmt-berüchtigten Marquis de Sade oder Ménerbes mit Picasso und Peter Mayle, der das Örtchen durch sein Buch „Mein Jahr in der Provence“ berühmt machte. Auch Venasque, Carpentras und Mallemort sowie das 2000 Jahre alte Apt und natürlich das elegante Aix-en-Provence am Ende der Strecke prägen den Charme dieser Reise. </w:t>
      </w:r>
    </w:p>
    <w:p w14:paraId="49BA1B86" w14:textId="09696C58" w:rsidR="004B2DE7" w:rsidRDefault="007456D6">
      <w:pPr>
        <w:pStyle w:val="TableContents"/>
        <w:spacing w:after="62" w:line="288" w:lineRule="auto"/>
        <w:jc w:val="both"/>
      </w:pPr>
      <w:r>
        <w:rPr>
          <w:rFonts w:ascii="Arial" w:eastAsia="Helvetica;Arial" w:hAnsi="Arial" w:cs="Arial"/>
          <w:color w:val="000000"/>
          <w:sz w:val="22"/>
          <w:szCs w:val="22"/>
        </w:rPr>
        <w:t xml:space="preserve">Herausragende bauliche und natürliche Höhepunkte am Wegesrand sind das 900 Jahre alte Zisterzienserkloster der Abtei von Sénanque, das Freilichtmuseum Village des Bories mit seinen gleichnamigen, typisch provenzalischen Trockenstein-Rundbauten und „Pont </w:t>
      </w:r>
      <w:r>
        <w:rPr>
          <w:rFonts w:ascii="Arial" w:eastAsia="Helvetica;Arial" w:hAnsi="Arial" w:cs="Arial"/>
          <w:color w:val="000000"/>
          <w:sz w:val="22"/>
          <w:szCs w:val="22"/>
        </w:rPr>
        <w:lastRenderedPageBreak/>
        <w:t xml:space="preserve">Julien“, Frankreichs besterhaltene Brücke aus römischer Zeit. 120 Meter lang und sechs Meter breit, wird sie seit über 2000 Jahren für den Verkehr genutzt. Die Natur fasziniert mit ihren leuchtend roten bis gelben Bodenschichten der Ockerfelsen von </w:t>
      </w:r>
      <w:r w:rsidR="00805FC9">
        <w:rPr>
          <w:rFonts w:ascii="Arial" w:eastAsia="Helvetica;Arial" w:hAnsi="Arial" w:cs="Arial"/>
          <w:color w:val="000000"/>
          <w:sz w:val="22"/>
          <w:szCs w:val="22"/>
        </w:rPr>
        <w:t>Roussillon</w:t>
      </w:r>
      <w:r>
        <w:rPr>
          <w:rFonts w:ascii="Arial" w:eastAsia="Helvetica;Arial" w:hAnsi="Arial" w:cs="Arial"/>
          <w:color w:val="000000"/>
          <w:sz w:val="22"/>
          <w:szCs w:val="22"/>
        </w:rPr>
        <w:t xml:space="preserve"> sowie in 300 Metern Tiefe mit schillerndem Smaragdgrün der nicht weniger spektakulären mystischen Quelle der Sorgue. Am Ende der acht Tage steht das Staunen darüber, wie es möglich ist, so viel Fülle in nur einer Reise zu erleben. </w:t>
      </w:r>
    </w:p>
    <w:p w14:paraId="03BEC876" w14:textId="27437299" w:rsidR="004B2DE7" w:rsidRDefault="007456D6">
      <w:pPr>
        <w:pStyle w:val="TableContents"/>
        <w:spacing w:after="62" w:line="288" w:lineRule="auto"/>
        <w:jc w:val="both"/>
      </w:pPr>
      <w:r>
        <w:rPr>
          <w:rFonts w:ascii="Arial" w:eastAsia="Helvetica;Arial" w:hAnsi="Arial" w:cs="Arial"/>
          <w:color w:val="000000"/>
          <w:sz w:val="22"/>
          <w:szCs w:val="22"/>
        </w:rPr>
        <w:t>Die achttägige E-Bike-Reise „Provence – Luberon: Sternradeln im Land des Lichts“ ist ab 2.695 Euro pro Person im Doppelzimmer an folgenden Terminen buchbar: 03. bis 10. Mai 2025, 07. bis 14. sowie 14. bis 21. September 2025.  </w:t>
      </w:r>
      <w:r>
        <w:rPr>
          <w:rStyle w:val="Hyperlink"/>
          <w:rFonts w:ascii="Arial" w:eastAsia="Helvetica;Arial" w:hAnsi="Arial" w:cs="Arial"/>
          <w:color w:val="000000"/>
          <w:sz w:val="22"/>
          <w:szCs w:val="22"/>
        </w:rPr>
        <w:t>https://www.dielandpartie.de/unsere-reisen/detailseite/&amp;reise=radreisen-provence-luberon-frankreich</w:t>
      </w:r>
    </w:p>
    <w:p w14:paraId="491D161B" w14:textId="77777777" w:rsidR="004B2DE7" w:rsidRDefault="007456D6">
      <w:pPr>
        <w:spacing w:after="60" w:line="288" w:lineRule="auto"/>
        <w:jc w:val="both"/>
        <w:rPr>
          <w:b/>
          <w:bCs/>
        </w:rPr>
      </w:pPr>
      <w:r>
        <w:rPr>
          <w:rFonts w:ascii="Arial" w:eastAsia="Helvetica;Arial" w:hAnsi="Arial" w:cs="Arial"/>
          <w:b/>
          <w:bCs/>
          <w:color w:val="000000"/>
          <w:sz w:val="22"/>
          <w:szCs w:val="22"/>
        </w:rPr>
        <w:t>Toskanas Eleganz und Naturschönheit zu Land und zu Wasser erleben</w:t>
      </w:r>
    </w:p>
    <w:p w14:paraId="7BE5EF55" w14:textId="77777777" w:rsidR="004B2DE7" w:rsidRDefault="007456D6">
      <w:pPr>
        <w:spacing w:after="60" w:line="288" w:lineRule="auto"/>
        <w:jc w:val="both"/>
        <w:rPr>
          <w:rFonts w:ascii="Verdana" w:hAnsi="Verdana"/>
        </w:rPr>
      </w:pPr>
      <w:r>
        <w:rPr>
          <w:rFonts w:ascii="Arial" w:eastAsia="Helvetica;Arial" w:hAnsi="Arial" w:cs="Arial"/>
          <w:color w:val="000000"/>
          <w:sz w:val="22"/>
          <w:szCs w:val="22"/>
        </w:rPr>
        <w:t xml:space="preserve">Auch der Ausgangspunkt der Tagesetappen in der Toskana und Maremma könnte nicht passender sein. Umgeben von Olivenheinen und Weinbergen trifft im Hotel Tenuta del Fontino Agriturismo auf toskanische Eleganz. Ortstypische Gutsgebäude sowie eine elegante Villa aus dem späten 18. Jahrhundert sind von einem gepflegten Park mit jahrhundertealten Zypressen umgeben, in dem sowohl zwei Schwimmbäder mit Blick auf die eigenen Weinberge als auch ein privater See zum Baden einladen. </w:t>
      </w:r>
    </w:p>
    <w:p w14:paraId="3F1B94CD" w14:textId="767CFD37" w:rsidR="004B2DE7" w:rsidRDefault="007456D6">
      <w:pPr>
        <w:spacing w:after="60" w:line="288" w:lineRule="auto"/>
        <w:jc w:val="both"/>
        <w:rPr>
          <w:rFonts w:ascii="Verdana" w:hAnsi="Verdana"/>
        </w:rPr>
      </w:pPr>
      <w:r>
        <w:rPr>
          <w:rFonts w:ascii="Arial" w:eastAsia="Helvetica;Arial" w:hAnsi="Arial" w:cs="Arial"/>
          <w:color w:val="000000"/>
          <w:sz w:val="22"/>
          <w:szCs w:val="22"/>
        </w:rPr>
        <w:t xml:space="preserve">Wasser ist ein begleitendes Element auf der Reise. An der Lagune von Orbetello am Meer entlang führt der Weg zum Tarotgarten der Künstlerin Niki de Saint Phalle mit ihren überlebensgroßen Nanas. Fischer Paolo Fanciulli teilt auf seinem Schiff sein Wissen über das Ökosystem des Maremma-Naturparks. Auf einer Bootstour durch die Sümpfe des Flussdeltas des Bruna bei Castiglione della Pescaia steht die artenreiche Fauna und Flora des Naturschutzgebietes im Mittelpunkt. Nach einem Bad im Tyrrhenischen Meer sorgen dessen Früchte später in einem feinen Fischrestaurant mit Blick auf den vom Abendrot erleuchteten Strand für höchsten kulinarischen Genuss. Für diesen sorgen auch eine Weinverkostung im Weingut Campetti mit köstlichen Antipasti und ein traditionelles Wildschweingericht im mittelalterlicher Ort Capalbio auf der Terrasse des eleganten Restaurants La Porta. </w:t>
      </w:r>
    </w:p>
    <w:p w14:paraId="20285F4E" w14:textId="77777777" w:rsidR="004B2DE7" w:rsidRDefault="007456D6">
      <w:pPr>
        <w:spacing w:after="60" w:line="288" w:lineRule="auto"/>
        <w:jc w:val="both"/>
        <w:rPr>
          <w:rFonts w:ascii="Verdana" w:hAnsi="Verdana"/>
        </w:rPr>
      </w:pPr>
      <w:r>
        <w:rPr>
          <w:rFonts w:ascii="Arial" w:eastAsia="Helvetica;Arial" w:hAnsi="Arial" w:cs="Arial"/>
          <w:color w:val="000000"/>
          <w:sz w:val="22"/>
          <w:szCs w:val="22"/>
        </w:rPr>
        <w:t>Die Geschichte der Etrusker wird in Massa Marittima mit den mittelalterlichen Palazzi und der asymmetrischen Piazza Garibaldi sowie in den Grabstätten von Vetulonia lebendig. Weitere Höhepunkte sind Siena mit der herzmuschelförmigen Piazza del Campo und dem Dom Santa Maria Assunta, Grosseto mit Dom und Piazza Dante, Montemassi mit eindrucksvoller Festungsruine oder das mittelalterliche, eng an den Felsen geschmiegte Bergdorf Roccatederighi. Pisa bildet mit der Piazza dei Miracoli, dem Baptisterium, Dom und Campanile den würdigen Abschluss dieser schönen Reise.</w:t>
      </w:r>
    </w:p>
    <w:p w14:paraId="47DCFD37" w14:textId="77777777" w:rsidR="004B2DE7" w:rsidRDefault="007456D6">
      <w:pPr>
        <w:spacing w:after="60" w:line="288" w:lineRule="auto"/>
        <w:jc w:val="both"/>
      </w:pPr>
      <w:r>
        <w:rPr>
          <w:rFonts w:ascii="Arial" w:eastAsia="Helvetica;Arial" w:hAnsi="Arial" w:cs="Arial"/>
          <w:color w:val="000000"/>
          <w:sz w:val="22"/>
          <w:szCs w:val="22"/>
        </w:rPr>
        <w:t>Die achttägige E-Bike-Reise „Südliche Toskana &amp; Maremma“ kostet ab 2.775 Euro pro Person im Doppelzimmer.</w:t>
      </w:r>
      <w:r>
        <w:rPr>
          <w:rStyle w:val="StrongEmphasis"/>
          <w:rFonts w:ascii="Arial" w:eastAsia="Helvetica;Arial" w:hAnsi="Arial" w:cs="Arial"/>
          <w:color w:val="000000"/>
          <w:sz w:val="22"/>
          <w:szCs w:val="22"/>
        </w:rPr>
        <w:t> </w:t>
      </w:r>
      <w:r>
        <w:rPr>
          <w:rFonts w:ascii="Arial" w:eastAsia="Helvetica;Arial" w:hAnsi="Arial" w:cs="Arial"/>
          <w:color w:val="000000"/>
          <w:sz w:val="22"/>
          <w:szCs w:val="22"/>
        </w:rPr>
        <w:t>Die Termine 04. bis 11.05. und 11.05. bis 18.05.2025 sowie 20.09. bis 27.07. und 27.09. bis 04.10.2025 sind noch buchbar.</w:t>
      </w:r>
      <w:r>
        <w:rPr>
          <w:rStyle w:val="Hyperlink"/>
          <w:rFonts w:ascii="Arial" w:eastAsia="Helvetica;Arial" w:hAnsi="Arial" w:cs="Arial"/>
          <w:sz w:val="22"/>
          <w:szCs w:val="22"/>
        </w:rPr>
        <w:t xml:space="preserve"> </w:t>
      </w:r>
      <w:hyperlink r:id="rId19">
        <w:r>
          <w:rPr>
            <w:rStyle w:val="Hyperlink"/>
            <w:rFonts w:ascii="Arial" w:eastAsia="Helvetica;Arial" w:hAnsi="Arial" w:cs="Arial"/>
            <w:sz w:val="22"/>
            <w:szCs w:val="22"/>
          </w:rPr>
          <w:t>https://www.dielandpartie.de/unsere-reisen/detailseite/&amp;reise=radreise-elektrorad-toskana-maremma</w:t>
        </w:r>
      </w:hyperlink>
    </w:p>
    <w:p w14:paraId="03EB0492" w14:textId="77777777" w:rsidR="004B2DE7" w:rsidRDefault="004B2DE7">
      <w:pPr>
        <w:sectPr w:rsidR="004B2DE7">
          <w:headerReference w:type="default" r:id="rId20"/>
          <w:footerReference w:type="default" r:id="rId21"/>
          <w:pgSz w:w="11906" w:h="16838"/>
          <w:pgMar w:top="2203" w:right="1841" w:bottom="340" w:left="1418" w:header="567" w:footer="156" w:gutter="0"/>
          <w:cols w:space="720"/>
          <w:formProt w:val="0"/>
          <w:docGrid w:linePitch="600" w:charSpace="32768"/>
        </w:sectPr>
      </w:pPr>
    </w:p>
    <w:p w14:paraId="2961EA4B" w14:textId="77777777" w:rsidR="004B2DE7" w:rsidRDefault="007456D6">
      <w:pPr>
        <w:spacing w:after="60" w:line="288" w:lineRule="auto"/>
        <w:jc w:val="both"/>
      </w:pPr>
      <w:r>
        <w:rPr>
          <w:rFonts w:ascii="Arial" w:eastAsia="Helvetica;Arial" w:hAnsi="Arial" w:cs="Arial"/>
          <w:bCs/>
          <w:color w:val="000000"/>
          <w:sz w:val="22"/>
          <w:szCs w:val="22"/>
        </w:rPr>
        <w:t>M</w:t>
      </w:r>
      <w:r>
        <w:rPr>
          <w:rFonts w:ascii="Arial" w:eastAsia="Helvetica;Arial" w:hAnsi="Arial" w:cs="Arial"/>
          <w:color w:val="000000"/>
          <w:sz w:val="22"/>
          <w:szCs w:val="22"/>
        </w:rPr>
        <w:t xml:space="preserve">ehr zur Landpartie Radeln und Reisen über </w:t>
      </w:r>
      <w:hyperlink r:id="rId22">
        <w:r>
          <w:rPr>
            <w:rStyle w:val="Hyperlink"/>
            <w:rFonts w:ascii="Arial" w:eastAsia="Helvetica;Arial" w:hAnsi="Arial" w:cs="Arial"/>
            <w:sz w:val="22"/>
            <w:szCs w:val="22"/>
            <w:lang w:eastAsia="ar-SA"/>
          </w:rPr>
          <w:t>www.dielandpartie.de</w:t>
        </w:r>
      </w:hyperlink>
      <w:r>
        <w:rPr>
          <w:rFonts w:ascii="Arial" w:eastAsia="Helvetica;Arial" w:hAnsi="Arial" w:cs="Arial"/>
          <w:color w:val="000000"/>
          <w:sz w:val="22"/>
          <w:szCs w:val="22"/>
        </w:rPr>
        <w:t xml:space="preserve">. </w:t>
      </w:r>
    </w:p>
    <w:p w14:paraId="2C65F9D7" w14:textId="77777777" w:rsidR="004B2DE7" w:rsidRDefault="004B2DE7">
      <w:pPr>
        <w:spacing w:after="60" w:line="288" w:lineRule="auto"/>
        <w:jc w:val="both"/>
        <w:rPr>
          <w:rFonts w:ascii="Arial" w:eastAsia="Helvetica;Arial" w:hAnsi="Arial" w:cs="Arial"/>
          <w:color w:val="000000"/>
          <w:sz w:val="22"/>
          <w:szCs w:val="22"/>
        </w:rPr>
      </w:pPr>
    </w:p>
    <w:sectPr w:rsidR="004B2DE7">
      <w:type w:val="continuous"/>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7701D" w14:textId="77777777" w:rsidR="008056CC" w:rsidRDefault="008056CC">
      <w:r>
        <w:separator/>
      </w:r>
    </w:p>
  </w:endnote>
  <w:endnote w:type="continuationSeparator" w:id="0">
    <w:p w14:paraId="1EB08571" w14:textId="77777777" w:rsidR="008056CC" w:rsidRDefault="0080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DB840" w14:textId="77777777" w:rsidR="004B2DE7" w:rsidRDefault="007456D6">
    <w:pPr>
      <w:pStyle w:val="MPAbsenderadresse"/>
      <w:jc w:val="center"/>
      <w:rPr>
        <w:b/>
      </w:rPr>
    </w:pPr>
    <w:r>
      <w:rPr>
        <w:b/>
      </w:rPr>
      <w:t>Pressekontakt:</w:t>
    </w:r>
  </w:p>
  <w:p w14:paraId="25C2638A" w14:textId="77777777" w:rsidR="004B2DE7" w:rsidRDefault="007456D6">
    <w:pPr>
      <w:pStyle w:val="MPAbsenderadresse"/>
      <w:jc w:val="center"/>
    </w:pPr>
    <w:r>
      <w:rPr>
        <w:i/>
      </w:rPr>
      <w:t>primo PR</w:t>
    </w:r>
    <w:r>
      <w:t>, Anne Heußner &amp; Nuray Güler, Tel: 06154-80 19 364 / 069 530 546 50,</w:t>
    </w:r>
  </w:p>
  <w:p w14:paraId="2D717B60" w14:textId="77777777" w:rsidR="004B2DE7" w:rsidRDefault="007456D6">
    <w:pPr>
      <w:pStyle w:val="MPAbsenderadresse"/>
      <w:jc w:val="center"/>
    </w:pPr>
    <w:hyperlink r:id="rId1">
      <w:r>
        <w:rPr>
          <w:rStyle w:val="Hyperlink"/>
        </w:rPr>
        <w:t>n.gueler@primo-pr.com</w:t>
      </w:r>
    </w:hyperlink>
    <w:r>
      <w:t xml:space="preserve">, </w:t>
    </w:r>
    <w:hyperlink r:id="rId2">
      <w:r>
        <w:rPr>
          <w:rStyle w:val="Hyperlink"/>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FDBAD" w14:textId="77777777" w:rsidR="008056CC" w:rsidRDefault="008056CC">
      <w:r>
        <w:separator/>
      </w:r>
    </w:p>
  </w:footnote>
  <w:footnote w:type="continuationSeparator" w:id="0">
    <w:p w14:paraId="70638ABC" w14:textId="77777777" w:rsidR="008056CC" w:rsidRDefault="00805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F7B4D" w14:textId="77777777" w:rsidR="004B2DE7" w:rsidRDefault="004B2DE7">
    <w:pPr>
      <w:rPr>
        <w:rFonts w:ascii="Arial" w:hAnsi="Arial" w:cs="Arial"/>
        <w:spacing w:val="40"/>
      </w:rPr>
    </w:pPr>
  </w:p>
  <w:p w14:paraId="0CEA003C" w14:textId="77777777" w:rsidR="004B2DE7" w:rsidRDefault="007456D6">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198334CF" wp14:editId="598DA524">
          <wp:extent cx="2982595" cy="471170"/>
          <wp:effectExtent l="0" t="0" r="0" b="0"/>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0817A750" w14:textId="77777777" w:rsidR="004B2DE7" w:rsidRDefault="007456D6">
    <w:pPr>
      <w:tabs>
        <w:tab w:val="left" w:pos="2540"/>
      </w:tabs>
      <w:rPr>
        <w:rFonts w:ascii="Arial" w:hAnsi="Arial" w:cs="Arial"/>
        <w:spacing w:val="40"/>
      </w:rPr>
    </w:pPr>
    <w:r>
      <w:rPr>
        <w:rFonts w:ascii="Arial" w:hAnsi="Arial" w:cs="Arial"/>
        <w:spacing w:val="40"/>
      </w:rPr>
      <w:tab/>
    </w:r>
  </w:p>
  <w:p w14:paraId="0E7A4D4E" w14:textId="77777777" w:rsidR="004B2DE7" w:rsidRDefault="004B2DE7">
    <w:pPr>
      <w:rPr>
        <w:rFonts w:ascii="Arial" w:hAnsi="Arial" w:cs="Arial"/>
        <w:spacing w:val="40"/>
      </w:rPr>
    </w:pPr>
  </w:p>
  <w:p w14:paraId="04F46761" w14:textId="77777777" w:rsidR="004B2DE7" w:rsidRDefault="007456D6">
    <w:pPr>
      <w:rPr>
        <w:rFonts w:ascii="Arial" w:hAnsi="Arial" w:cs="Arial"/>
        <w:spacing w:val="40"/>
      </w:rPr>
    </w:pPr>
    <w:r>
      <w:rPr>
        <w:rFonts w:ascii="Arial" w:hAnsi="Arial" w:cs="Arial"/>
        <w:spacing w:val="40"/>
      </w:rPr>
      <w:t>PRESSEINFORMATION</w:t>
    </w:r>
  </w:p>
  <w:p w14:paraId="2F2EB700" w14:textId="77777777" w:rsidR="004B2DE7" w:rsidRDefault="004B2DE7">
    <w:pPr>
      <w:rPr>
        <w:rFonts w:ascii="Arial" w:hAnsi="Arial" w:cs="Arial"/>
        <w:spacing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553A2"/>
    <w:multiLevelType w:val="multilevel"/>
    <w:tmpl w:val="46F69BF0"/>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D2200"/>
    <w:multiLevelType w:val="multilevel"/>
    <w:tmpl w:val="18E0A77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29583417">
    <w:abstractNumId w:val="0"/>
  </w:num>
  <w:num w:numId="2" w16cid:durableId="1550066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DE7"/>
    <w:rsid w:val="0004577C"/>
    <w:rsid w:val="00103BBF"/>
    <w:rsid w:val="00131207"/>
    <w:rsid w:val="00186527"/>
    <w:rsid w:val="001E2DA2"/>
    <w:rsid w:val="004B2DE7"/>
    <w:rsid w:val="007456D6"/>
    <w:rsid w:val="008056CC"/>
    <w:rsid w:val="00805FC9"/>
    <w:rsid w:val="00983AD0"/>
    <w:rsid w:val="009B3490"/>
    <w:rsid w:val="009E2F75"/>
    <w:rsid w:val="00A02C9C"/>
    <w:rsid w:val="00AC2F65"/>
    <w:rsid w:val="00AF0F1C"/>
    <w:rsid w:val="00C67CC8"/>
    <w:rsid w:val="00D173EE"/>
    <w:rsid w:val="00E22FFD"/>
    <w:rsid w:val="00EC16E1"/>
    <w:rsid w:val="00F32E08"/>
    <w:rsid w:val="00FA6D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8075A"/>
  <w15:docId w15:val="{3AE361FA-FC6B-48C6-872D-907D8A11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paragraph" w:customStyle="1" w:styleId="TableContents">
    <w:name w:val="Table Contents"/>
    <w:basedOn w:val="Standard"/>
    <w:qFormat/>
    <w:pPr>
      <w:suppressLineNumbers/>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hyperlink" Target="https://www.facebook.com/DieLandparti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primo-pr.com/cms/upload/bildarchiv/die_landpartie_radel/E-Bike-Toskana_c_Die-Landpartie_8.JPG" TargetMode="External"/><Relationship Id="rId17" Type="http://schemas.openxmlformats.org/officeDocument/2006/relationships/hyperlink" Target="http://www.dielandpartie.de/jobs" TargetMode="Externa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g"/><Relationship Id="rId23" Type="http://schemas.openxmlformats.org/officeDocument/2006/relationships/fontTable" Target="fontTable.xml"/><Relationship Id="rId10" Type="http://schemas.openxmlformats.org/officeDocument/2006/relationships/hyperlink" Target="https://www.primo-pr.com/cms/upload/bildarchiv/die_landpartie_radel/Gaestebereich_Sternradeln_Provence_2024-01_c_Detlev_Bringmann_3.jpeg" TargetMode="External"/><Relationship Id="rId19" Type="http://schemas.openxmlformats.org/officeDocument/2006/relationships/hyperlink" Target="https://www.dielandpartie.de/unsere-reisen/detailseite/&amp;reise=radreise-elektrorad-toskana-maremm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E-Bike-Toskana_c_Die-Landpartie_6.jpg" TargetMode="External"/><Relationship Id="rId22" Type="http://schemas.openxmlformats.org/officeDocument/2006/relationships/hyperlink" Target="http://www.dielandparti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D83647-62E7-44EA-83D9-0026A4C5ADD6}">
  <ds:schemaRefs>
    <ds:schemaRef ds:uri="http://schemas.microsoft.com/sharepoint/v3/contenttype/forms"/>
  </ds:schemaRefs>
</ds:datastoreItem>
</file>

<file path=customXml/itemProps2.xml><?xml version="1.0" encoding="utf-8"?>
<ds:datastoreItem xmlns:ds="http://schemas.openxmlformats.org/officeDocument/2006/customXml" ds:itemID="{55421EC1-E2C9-400D-A128-ECAED6E6D8E0}">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2502EB09-2F54-45DC-9B54-C432A78B9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5394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HBPR_x005f_x0000__x005f_x0000__x005f_x0000_</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Anne Heussner</cp:lastModifiedBy>
  <cp:revision>11</cp:revision>
  <cp:lastPrinted>1995-11-21T17:41:00Z</cp:lastPrinted>
  <dcterms:created xsi:type="dcterms:W3CDTF">2025-02-10T16:39:00Z</dcterms:created>
  <dcterms:modified xsi:type="dcterms:W3CDTF">2025-02-13T13:12:00Z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ediaServiceImageTags">
    <vt:lpwstr/>
  </property>
  <property fmtid="{D5CDD505-2E9C-101B-9397-08002B2CF9AE}" pid="9" name="ScaleCrop">
    <vt:bool>false</vt:bool>
  </property>
  <property fmtid="{D5CDD505-2E9C-101B-9397-08002B2CF9AE}" pid="10" name="ShareDoc">
    <vt:bool>false</vt:bool>
  </property>
  <property fmtid="{D5CDD505-2E9C-101B-9397-08002B2CF9AE}" pid="11" name="TaxCatchAll">
    <vt:lpwstr/>
  </property>
  <property fmtid="{D5CDD505-2E9C-101B-9397-08002B2CF9AE}" pid="12" name="lcf76f155ced4ddcb4097134ff3c332f">
    <vt:lpwstr/>
  </property>
</Properties>
</file>